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DCC7C">
      <w:pPr>
        <w:jc w:val="center"/>
        <w:rPr>
          <w:rFonts w:hint="eastAsia" w:ascii="仿宋_GB2312" w:eastAsia="仿宋_GB2312" w:cs="仿宋_GB2312"/>
          <w:spacing w:val="0"/>
          <w:kern w:val="0"/>
          <w:sz w:val="32"/>
          <w:szCs w:val="32"/>
        </w:rPr>
      </w:pPr>
      <w:r>
        <w:rPr>
          <w:sz w:val="176"/>
        </w:rPr>
        <mc:AlternateContent>
          <mc:Choice Requires="wps">
            <w:drawing>
              <wp:anchor distT="0" distB="0" distL="114300" distR="114300" simplePos="0" relativeHeight="251659264" behindDoc="0" locked="0" layoutInCell="1" allowOverlap="1">
                <wp:simplePos x="0" y="0"/>
                <wp:positionH relativeFrom="column">
                  <wp:posOffset>-224790</wp:posOffset>
                </wp:positionH>
                <wp:positionV relativeFrom="paragraph">
                  <wp:posOffset>-490855</wp:posOffset>
                </wp:positionV>
                <wp:extent cx="2092325" cy="502285"/>
                <wp:effectExtent l="5080" t="5080" r="17145" b="6985"/>
                <wp:wrapNone/>
                <wp:docPr id="1" name="文本框 5"/>
                <wp:cNvGraphicFramePr/>
                <a:graphic xmlns:a="http://schemas.openxmlformats.org/drawingml/2006/main">
                  <a:graphicData uri="http://schemas.microsoft.com/office/word/2010/wordprocessingShape">
                    <wps:wsp>
                      <wps:cNvSpPr txBox="1"/>
                      <wps:spPr>
                        <a:xfrm>
                          <a:off x="0" y="0"/>
                          <a:ext cx="2092325" cy="5022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98F36DD">
                            <w:pPr>
                              <w:keepNext w:val="0"/>
                              <w:keepLines w:val="0"/>
                              <w:widowControl/>
                              <w:suppressLineNumbers w:val="0"/>
                              <w:spacing w:line="240" w:lineRule="auto"/>
                              <w:jc w:val="left"/>
                              <w:rPr>
                                <w:rFonts w:hint="eastAsia" w:ascii="宋体" w:hAnsi="宋体" w:eastAsia="宋体" w:cs="宋体"/>
                                <w:sz w:val="32"/>
                                <w:szCs w:val="32"/>
                              </w:rPr>
                            </w:pPr>
                            <w:r>
                              <w:rPr>
                                <w:rFonts w:hint="eastAsia" w:ascii="宋体" w:hAnsi="宋体" w:eastAsia="宋体" w:cs="宋体"/>
                                <w:color w:val="auto"/>
                                <w:kern w:val="0"/>
                                <w:sz w:val="32"/>
                                <w:szCs w:val="32"/>
                              </w:rPr>
                              <w:t>TZDR</w:t>
                            </w:r>
                            <w:r>
                              <w:rPr>
                                <w:rFonts w:hint="eastAsia" w:ascii="宋体" w:hAnsi="宋体" w:eastAsia="宋体" w:cs="宋体"/>
                                <w:color w:val="000000"/>
                                <w:kern w:val="0"/>
                                <w:sz w:val="32"/>
                                <w:szCs w:val="32"/>
                                <w:lang w:val="en-US" w:eastAsia="zh-CN" w:bidi="ar"/>
                              </w:rPr>
                              <w:t>-</w:t>
                            </w:r>
                            <w:r>
                              <w:rPr>
                                <w:rFonts w:hint="eastAsia" w:ascii="宋体" w:hAnsi="宋体" w:eastAsia="宋体" w:cs="宋体"/>
                                <w:color w:val="auto"/>
                                <w:kern w:val="0"/>
                                <w:sz w:val="32"/>
                                <w:szCs w:val="32"/>
                              </w:rPr>
                              <w:t>202</w:t>
                            </w:r>
                            <w:r>
                              <w:rPr>
                                <w:rFonts w:hint="eastAsia" w:ascii="宋体" w:hAnsi="宋体" w:eastAsia="宋体" w:cs="宋体"/>
                                <w:color w:val="auto"/>
                                <w:kern w:val="0"/>
                                <w:sz w:val="32"/>
                                <w:szCs w:val="32"/>
                                <w:lang w:val="en-US" w:eastAsia="zh-CN"/>
                              </w:rPr>
                              <w:t>6</w:t>
                            </w:r>
                            <w:r>
                              <w:rPr>
                                <w:rFonts w:hint="eastAsia" w:ascii="宋体" w:hAnsi="宋体" w:eastAsia="宋体" w:cs="宋体"/>
                                <w:color w:val="000000"/>
                                <w:kern w:val="0"/>
                                <w:sz w:val="32"/>
                                <w:szCs w:val="32"/>
                                <w:lang w:val="en-US" w:eastAsia="zh-CN" w:bidi="ar"/>
                              </w:rPr>
                              <w:t>-</w:t>
                            </w:r>
                            <w:r>
                              <w:rPr>
                                <w:rFonts w:hint="eastAsia" w:ascii="宋体" w:hAnsi="宋体" w:eastAsia="宋体" w:cs="宋体"/>
                                <w:color w:val="auto"/>
                                <w:kern w:val="0"/>
                                <w:sz w:val="32"/>
                                <w:szCs w:val="32"/>
                              </w:rPr>
                              <w:t>0</w:t>
                            </w:r>
                            <w:r>
                              <w:rPr>
                                <w:rFonts w:hint="eastAsia" w:ascii="宋体" w:hAnsi="宋体" w:eastAsia="宋体" w:cs="宋体"/>
                                <w:color w:val="auto"/>
                                <w:kern w:val="0"/>
                                <w:sz w:val="32"/>
                                <w:szCs w:val="32"/>
                                <w:lang w:val="en-US" w:eastAsia="zh-CN"/>
                              </w:rPr>
                              <w:t>01</w:t>
                            </w:r>
                            <w:r>
                              <w:rPr>
                                <w:rFonts w:hint="eastAsia" w:ascii="宋体" w:hAnsi="宋体" w:eastAsia="宋体" w:cs="宋体"/>
                                <w:color w:val="auto"/>
                                <w:kern w:val="0"/>
                                <w:sz w:val="32"/>
                                <w:szCs w:val="32"/>
                              </w:rPr>
                              <w:t>000</w:t>
                            </w:r>
                            <w:r>
                              <w:rPr>
                                <w:rFonts w:hint="eastAsia" w:ascii="宋体" w:hAnsi="宋体" w:eastAsia="宋体" w:cs="宋体"/>
                                <w:color w:val="auto"/>
                                <w:kern w:val="0"/>
                                <w:sz w:val="32"/>
                                <w:szCs w:val="32"/>
                                <w:lang w:val="en-US" w:eastAsia="zh-CN"/>
                              </w:rPr>
                              <w:t>2</w:t>
                            </w:r>
                          </w:p>
                        </w:txbxContent>
                      </wps:txbx>
                      <wps:bodyPr vert="horz" wrap="square" lIns="0" tIns="0" rIns="0" bIns="0" anchor="t" anchorCtr="0" upright="1"/>
                    </wps:wsp>
                  </a:graphicData>
                </a:graphic>
              </wp:anchor>
            </w:drawing>
          </mc:Choice>
          <mc:Fallback>
            <w:pict>
              <v:shape id="文本框 5" o:spid="_x0000_s1026" o:spt="202" type="#_x0000_t202" style="position:absolute;left:0pt;margin-left:-17.7pt;margin-top:-38.65pt;height:39.55pt;width:164.75pt;z-index:251659264;mso-width-relative:page;mso-height-relative:page;" fillcolor="#FFFFFF" filled="t" stroked="t" coordsize="21600,21600" o:gfxdata="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4U9RdkAAAAJAQAADwAAAAAAAAABACAAAAAiAAAAZHJzL2Rvd25yZXYu&#10;eG1sUEsBAhQAFAAAAAgAh07iQNFf7VkzAgAAjQQAAA4AAAAAAAAAAQAgAAAAKAEAAGRycy9lMm9E&#10;b2MueG1sUEsFBgAAAAAGAAYAWQEAAM0FAAAAAA==&#10;">
                <v:fill on="t" focussize="0,0"/>
                <v:stroke color="#FFFFFF" joinstyle="miter"/>
                <v:imagedata o:title=""/>
                <o:lock v:ext="edit" aspectratio="f"/>
                <v:textbox inset="0mm,0mm,0mm,0mm">
                  <w:txbxContent>
                    <w:p w14:paraId="598F36DD">
                      <w:pPr>
                        <w:keepNext w:val="0"/>
                        <w:keepLines w:val="0"/>
                        <w:widowControl/>
                        <w:suppressLineNumbers w:val="0"/>
                        <w:spacing w:line="240" w:lineRule="auto"/>
                        <w:jc w:val="left"/>
                        <w:rPr>
                          <w:rFonts w:hint="eastAsia" w:ascii="宋体" w:hAnsi="宋体" w:eastAsia="宋体" w:cs="宋体"/>
                          <w:sz w:val="32"/>
                          <w:szCs w:val="32"/>
                        </w:rPr>
                      </w:pPr>
                      <w:r>
                        <w:rPr>
                          <w:rFonts w:hint="eastAsia" w:ascii="宋体" w:hAnsi="宋体" w:eastAsia="宋体" w:cs="宋体"/>
                          <w:color w:val="auto"/>
                          <w:kern w:val="0"/>
                          <w:sz w:val="32"/>
                          <w:szCs w:val="32"/>
                        </w:rPr>
                        <w:t>TZDR</w:t>
                      </w:r>
                      <w:r>
                        <w:rPr>
                          <w:rFonts w:hint="eastAsia" w:ascii="宋体" w:hAnsi="宋体" w:eastAsia="宋体" w:cs="宋体"/>
                          <w:color w:val="000000"/>
                          <w:kern w:val="0"/>
                          <w:sz w:val="32"/>
                          <w:szCs w:val="32"/>
                          <w:lang w:val="en-US" w:eastAsia="zh-CN" w:bidi="ar"/>
                        </w:rPr>
                        <w:t>-</w:t>
                      </w:r>
                      <w:r>
                        <w:rPr>
                          <w:rFonts w:hint="eastAsia" w:ascii="宋体" w:hAnsi="宋体" w:eastAsia="宋体" w:cs="宋体"/>
                          <w:color w:val="auto"/>
                          <w:kern w:val="0"/>
                          <w:sz w:val="32"/>
                          <w:szCs w:val="32"/>
                        </w:rPr>
                        <w:t>202</w:t>
                      </w:r>
                      <w:r>
                        <w:rPr>
                          <w:rFonts w:hint="eastAsia" w:ascii="宋体" w:hAnsi="宋体" w:eastAsia="宋体" w:cs="宋体"/>
                          <w:color w:val="auto"/>
                          <w:kern w:val="0"/>
                          <w:sz w:val="32"/>
                          <w:szCs w:val="32"/>
                          <w:lang w:val="en-US" w:eastAsia="zh-CN"/>
                        </w:rPr>
                        <w:t>6</w:t>
                      </w:r>
                      <w:r>
                        <w:rPr>
                          <w:rFonts w:hint="eastAsia" w:ascii="宋体" w:hAnsi="宋体" w:eastAsia="宋体" w:cs="宋体"/>
                          <w:color w:val="000000"/>
                          <w:kern w:val="0"/>
                          <w:sz w:val="32"/>
                          <w:szCs w:val="32"/>
                          <w:lang w:val="en-US" w:eastAsia="zh-CN" w:bidi="ar"/>
                        </w:rPr>
                        <w:t>-</w:t>
                      </w:r>
                      <w:r>
                        <w:rPr>
                          <w:rFonts w:hint="eastAsia" w:ascii="宋体" w:hAnsi="宋体" w:eastAsia="宋体" w:cs="宋体"/>
                          <w:color w:val="auto"/>
                          <w:kern w:val="0"/>
                          <w:sz w:val="32"/>
                          <w:szCs w:val="32"/>
                        </w:rPr>
                        <w:t>0</w:t>
                      </w:r>
                      <w:r>
                        <w:rPr>
                          <w:rFonts w:hint="eastAsia" w:ascii="宋体" w:hAnsi="宋体" w:eastAsia="宋体" w:cs="宋体"/>
                          <w:color w:val="auto"/>
                          <w:kern w:val="0"/>
                          <w:sz w:val="32"/>
                          <w:szCs w:val="32"/>
                          <w:lang w:val="en-US" w:eastAsia="zh-CN"/>
                        </w:rPr>
                        <w:t>01</w:t>
                      </w:r>
                      <w:r>
                        <w:rPr>
                          <w:rFonts w:hint="eastAsia" w:ascii="宋体" w:hAnsi="宋体" w:eastAsia="宋体" w:cs="宋体"/>
                          <w:color w:val="auto"/>
                          <w:kern w:val="0"/>
                          <w:sz w:val="32"/>
                          <w:szCs w:val="32"/>
                        </w:rPr>
                        <w:t>000</w:t>
                      </w:r>
                      <w:r>
                        <w:rPr>
                          <w:rFonts w:hint="eastAsia" w:ascii="宋体" w:hAnsi="宋体" w:eastAsia="宋体" w:cs="宋体"/>
                          <w:color w:val="auto"/>
                          <w:kern w:val="0"/>
                          <w:sz w:val="32"/>
                          <w:szCs w:val="32"/>
                          <w:lang w:val="en-US" w:eastAsia="zh-CN"/>
                        </w:rPr>
                        <w:t>2</w:t>
                      </w:r>
                    </w:p>
                  </w:txbxContent>
                </v:textbox>
              </v:shape>
            </w:pict>
          </mc:Fallback>
        </mc:AlternateContent>
      </w:r>
    </w:p>
    <w:p w14:paraId="3996D500">
      <w:pPr>
        <w:spacing w:line="600" w:lineRule="exact"/>
        <w:jc w:val="center"/>
        <w:rPr>
          <w:rFonts w:hint="eastAsia" w:ascii="仿宋_GB2312" w:eastAsia="仿宋_GB2312"/>
          <w:sz w:val="32"/>
          <w:szCs w:val="32"/>
        </w:rPr>
      </w:pPr>
    </w:p>
    <w:p w14:paraId="7EAB2FDC">
      <w:pPr>
        <w:pStyle w:val="2"/>
        <w:rPr>
          <w:rFonts w:hint="eastAsia" w:ascii="仿宋_GB2312" w:eastAsia="仿宋_GB2312"/>
          <w:sz w:val="32"/>
          <w:szCs w:val="32"/>
        </w:rPr>
      </w:pPr>
    </w:p>
    <w:p w14:paraId="534D379F">
      <w:pPr>
        <w:rPr>
          <w:rFonts w:hint="eastAsia" w:ascii="仿宋_GB2312" w:eastAsia="仿宋_GB2312"/>
          <w:sz w:val="32"/>
          <w:szCs w:val="32"/>
        </w:rPr>
      </w:pPr>
    </w:p>
    <w:p w14:paraId="2E631CC4">
      <w:pPr>
        <w:pStyle w:val="2"/>
        <w:rPr>
          <w:rFonts w:hint="eastAsia" w:ascii="仿宋_GB2312" w:eastAsia="仿宋_GB2312"/>
          <w:sz w:val="32"/>
          <w:szCs w:val="32"/>
        </w:rPr>
      </w:pPr>
    </w:p>
    <w:p w14:paraId="333FC61F">
      <w:pPr>
        <w:rPr>
          <w:rFonts w:hint="eastAsia"/>
        </w:rPr>
      </w:pPr>
    </w:p>
    <w:p w14:paraId="1A2EF496">
      <w:pPr>
        <w:spacing w:line="600" w:lineRule="exact"/>
        <w:jc w:val="center"/>
        <w:rPr>
          <w:rFonts w:hint="eastAsia" w:ascii="仿宋_GB2312" w:eastAsia="仿宋_GB2312"/>
          <w:sz w:val="32"/>
          <w:szCs w:val="32"/>
        </w:rPr>
      </w:pPr>
      <w:r>
        <w:rPr>
          <w:rFonts w:hint="eastAsia" w:ascii="仿宋_GB2312" w:eastAsia="仿宋_GB2312"/>
          <w:sz w:val="32"/>
          <w:szCs w:val="32"/>
        </w:rPr>
        <w:t>滕政发〔202</w:t>
      </w:r>
      <w:r>
        <w:rPr>
          <w:rFonts w:hint="eastAsia" w:ascii="仿宋_GB2312" w:eastAsia="仿宋_GB2312"/>
          <w:sz w:val="32"/>
          <w:szCs w:val="32"/>
          <w:lang w:val="en-US" w:eastAsia="zh-CN"/>
        </w:rPr>
        <w:t>6</w:t>
      </w:r>
      <w:r>
        <w:rPr>
          <w:rFonts w:hint="eastAsia" w:ascii="仿宋_GB2312" w:eastAsia="仿宋_GB2312"/>
          <w:sz w:val="32"/>
          <w:szCs w:val="32"/>
        </w:rPr>
        <w:t>〕</w:t>
      </w:r>
      <w:r>
        <w:rPr>
          <w:rFonts w:hint="eastAsia" w:ascii="仿宋_GB2312" w:eastAsia="仿宋_GB2312"/>
          <w:sz w:val="32"/>
          <w:szCs w:val="32"/>
          <w:lang w:val="en-US" w:eastAsia="zh-CN"/>
        </w:rPr>
        <w:t>6</w:t>
      </w:r>
      <w:r>
        <w:rPr>
          <w:rFonts w:hint="eastAsia" w:ascii="仿宋_GB2312" w:eastAsia="仿宋_GB2312"/>
          <w:sz w:val="32"/>
          <w:szCs w:val="32"/>
        </w:rPr>
        <w:t>号</w:t>
      </w:r>
    </w:p>
    <w:p w14:paraId="5B283B9F">
      <w:pPr>
        <w:spacing w:line="600" w:lineRule="exact"/>
        <w:jc w:val="center"/>
        <w:rPr>
          <w:rFonts w:hint="eastAsia" w:ascii="仿宋_GB2312" w:hAnsi="仿宋_GB2312" w:eastAsia="仿宋_GB2312" w:cs="仿宋_GB2312"/>
          <w:sz w:val="32"/>
          <w:szCs w:val="32"/>
        </w:rPr>
      </w:pPr>
    </w:p>
    <w:p w14:paraId="57B13B2F">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20422655">
      <w:pPr>
        <w:keepNext w:val="0"/>
        <w:keepLines w:val="0"/>
        <w:pageBreakBefore w:val="0"/>
        <w:widowControl w:val="0"/>
        <w:kinsoku/>
        <w:wordWrap/>
        <w:overflowPunct w:val="0"/>
        <w:topLinePunct/>
        <w:autoSpaceDE/>
        <w:autoSpaceDN/>
        <w:bidi w:val="0"/>
        <w:spacing w:line="600" w:lineRule="exact"/>
        <w:ind w:left="0" w:firstLine="0" w:firstLineChars="0"/>
        <w:jc w:val="center"/>
        <w:textAlignment w:val="auto"/>
        <w:rPr>
          <w:rFonts w:hint="default" w:ascii="Times New Roman" w:hAnsi="Times New Roman" w:eastAsia="方正小标宋简体" w:cs="Times New Roman"/>
          <w:i w:val="0"/>
          <w:iCs w:val="0"/>
          <w:caps w:val="0"/>
          <w:color w:val="auto"/>
          <w:spacing w:val="0"/>
          <w:kern w:val="0"/>
          <w:sz w:val="44"/>
          <w:szCs w:val="44"/>
          <w:highlight w:val="none"/>
          <w:shd w:val="clear" w:color="auto" w:fill="FFFFFF"/>
          <w:lang w:val="en-US" w:eastAsia="zh-CN" w:bidi="ar"/>
        </w:rPr>
      </w:pPr>
      <w:r>
        <w:rPr>
          <w:rFonts w:hint="default" w:ascii="Times New Roman" w:hAnsi="Times New Roman" w:eastAsia="方正小标宋简体" w:cs="Times New Roman"/>
          <w:i w:val="0"/>
          <w:iCs w:val="0"/>
          <w:caps w:val="0"/>
          <w:color w:val="auto"/>
          <w:spacing w:val="0"/>
          <w:kern w:val="0"/>
          <w:sz w:val="44"/>
          <w:szCs w:val="44"/>
          <w:highlight w:val="none"/>
          <w:shd w:val="clear" w:color="auto" w:fill="FFFFFF"/>
          <w:lang w:val="en-US" w:eastAsia="zh-CN" w:bidi="ar"/>
        </w:rPr>
        <w:t>滕州市人民政府</w:t>
      </w:r>
    </w:p>
    <w:p w14:paraId="77C4FAFE">
      <w:pPr>
        <w:keepNext w:val="0"/>
        <w:keepLines w:val="0"/>
        <w:pageBreakBefore w:val="0"/>
        <w:widowControl w:val="0"/>
        <w:kinsoku/>
        <w:wordWrap/>
        <w:overflowPunct w:val="0"/>
        <w:topLinePunct/>
        <w:autoSpaceDE/>
        <w:autoSpaceDN/>
        <w:bidi w:val="0"/>
        <w:spacing w:line="600" w:lineRule="exact"/>
        <w:ind w:left="0" w:firstLine="0" w:firstLineChars="0"/>
        <w:jc w:val="center"/>
        <w:textAlignment w:val="auto"/>
        <w:rPr>
          <w:rFonts w:hint="default" w:ascii="Times New Roman" w:hAnsi="Times New Roman" w:eastAsia="微软雅黑" w:cs="Times New Roman"/>
          <w:i w:val="0"/>
          <w:iCs w:val="0"/>
          <w:caps w:val="0"/>
          <w:color w:val="auto"/>
          <w:spacing w:val="0"/>
          <w:sz w:val="21"/>
          <w:szCs w:val="21"/>
          <w:highlight w:val="none"/>
          <w:lang w:val="en-US"/>
        </w:rPr>
      </w:pPr>
      <w:r>
        <w:rPr>
          <w:rFonts w:hint="eastAsia" w:ascii="Times New Roman" w:hAnsi="Times New Roman" w:eastAsia="方正小标宋简体" w:cs="Times New Roman"/>
          <w:i w:val="0"/>
          <w:iCs w:val="0"/>
          <w:caps w:val="0"/>
          <w:color w:val="auto"/>
          <w:spacing w:val="0"/>
          <w:kern w:val="0"/>
          <w:sz w:val="44"/>
          <w:szCs w:val="44"/>
          <w:highlight w:val="none"/>
          <w:shd w:val="clear" w:color="auto" w:fill="FFFFFF"/>
          <w:lang w:val="en-US" w:eastAsia="zh-CN" w:bidi="ar"/>
        </w:rPr>
        <w:t>关于印发《滕州市没收违法建筑物处置办法》的通知</w:t>
      </w:r>
    </w:p>
    <w:p w14:paraId="582E0133">
      <w:pPr>
        <w:keepNext w:val="0"/>
        <w:keepLines w:val="0"/>
        <w:pageBreakBefore w:val="0"/>
        <w:widowControl w:val="0"/>
        <w:kinsoku/>
        <w:wordWrap/>
        <w:overflowPunct w:val="0"/>
        <w:topLinePunct/>
        <w:autoSpaceDE/>
        <w:autoSpaceDN/>
        <w:bidi w:val="0"/>
        <w:adjustRightInd w:val="0"/>
        <w:snapToGrid w:val="0"/>
        <w:spacing w:line="600" w:lineRule="exact"/>
        <w:jc w:val="left"/>
        <w:textAlignment w:val="auto"/>
        <w:rPr>
          <w:rFonts w:hint="eastAsia" w:ascii="仿宋_GB2312" w:eastAsia="仿宋_GB2312" w:cs="仿宋_GB2312"/>
          <w:spacing w:val="0"/>
          <w:kern w:val="0"/>
          <w:sz w:val="32"/>
          <w:szCs w:val="32"/>
        </w:rPr>
      </w:pPr>
    </w:p>
    <w:p w14:paraId="2B7F230C">
      <w:pPr>
        <w:keepNext w:val="0"/>
        <w:keepLines w:val="0"/>
        <w:pageBreakBefore w:val="0"/>
        <w:widowControl/>
        <w:suppressLineNumbers w:val="0"/>
        <w:kinsoku/>
        <w:wordWrap/>
        <w:autoSpaceDE/>
        <w:autoSpaceDN/>
        <w:bidi w:val="0"/>
        <w:spacing w:line="580" w:lineRule="exact"/>
        <w:jc w:val="left"/>
        <w:textAlignment w:val="auto"/>
        <w:rPr>
          <w:sz w:val="32"/>
          <w:szCs w:val="32"/>
        </w:rPr>
      </w:pPr>
      <w:r>
        <w:rPr>
          <w:rFonts w:ascii="仿宋_GB2312" w:hAnsi="宋体" w:eastAsia="仿宋_GB2312" w:cs="仿宋_GB2312"/>
          <w:color w:val="000000"/>
          <w:kern w:val="0"/>
          <w:sz w:val="32"/>
          <w:szCs w:val="32"/>
          <w:lang w:val="en-US" w:eastAsia="zh-CN" w:bidi="ar"/>
        </w:rPr>
        <w:t>各镇人民政府、街道办事处，滕州经济</w:t>
      </w:r>
      <w:r>
        <w:rPr>
          <w:rFonts w:hint="eastAsia" w:ascii="仿宋_GB2312" w:hAnsi="宋体" w:eastAsia="仿宋_GB2312" w:cs="仿宋_GB2312"/>
          <w:color w:val="000000"/>
          <w:kern w:val="0"/>
          <w:sz w:val="32"/>
          <w:szCs w:val="32"/>
          <w:lang w:val="en-US" w:eastAsia="zh-CN" w:bidi="ar"/>
        </w:rPr>
        <w:t>技术</w:t>
      </w:r>
      <w:r>
        <w:rPr>
          <w:rFonts w:ascii="仿宋_GB2312" w:hAnsi="宋体" w:eastAsia="仿宋_GB2312" w:cs="仿宋_GB2312"/>
          <w:color w:val="000000"/>
          <w:kern w:val="0"/>
          <w:sz w:val="32"/>
          <w:szCs w:val="32"/>
          <w:lang w:val="en-US" w:eastAsia="zh-CN" w:bidi="ar"/>
        </w:rPr>
        <w:t>开发区管委会，市政府</w:t>
      </w:r>
      <w:r>
        <w:rPr>
          <w:rFonts w:hint="eastAsia" w:ascii="仿宋_GB2312" w:hAnsi="宋体" w:eastAsia="仿宋_GB2312" w:cs="仿宋_GB2312"/>
          <w:color w:val="000000"/>
          <w:kern w:val="0"/>
          <w:sz w:val="32"/>
          <w:szCs w:val="32"/>
          <w:lang w:val="en-US" w:eastAsia="zh-CN" w:bidi="ar"/>
        </w:rPr>
        <w:t>各部门，各企事业单位：</w:t>
      </w:r>
    </w:p>
    <w:p w14:paraId="4C246803">
      <w:pPr>
        <w:keepNext w:val="0"/>
        <w:keepLines w:val="0"/>
        <w:pageBreakBefore w:val="0"/>
        <w:widowControl/>
        <w:suppressLineNumbers w:val="0"/>
        <w:kinsoku/>
        <w:wordWrap/>
        <w:autoSpaceDE/>
        <w:autoSpaceDN/>
        <w:bidi w:val="0"/>
        <w:spacing w:line="580" w:lineRule="exact"/>
        <w:ind w:firstLine="640" w:firstLineChars="200"/>
        <w:jc w:val="both"/>
        <w:textAlignment w:val="auto"/>
        <w:rPr>
          <w:rFonts w:ascii="仿宋_GB2312" w:hAnsi="宋体" w:eastAsia="仿宋_GB2312" w:cs="仿宋_GB2312"/>
          <w:color w:val="000000"/>
          <w:kern w:val="0"/>
          <w:sz w:val="32"/>
          <w:szCs w:val="32"/>
          <w:lang w:val="en-US" w:eastAsia="zh-CN" w:bidi="ar"/>
        </w:rPr>
      </w:pPr>
      <w:r>
        <w:rPr>
          <w:rFonts w:ascii="仿宋_GB2312" w:hAnsi="宋体" w:eastAsia="仿宋_GB2312" w:cs="仿宋_GB2312"/>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滕州市没收违法建筑物处置办法</w:t>
      </w:r>
      <w:r>
        <w:rPr>
          <w:rFonts w:ascii="仿宋_GB2312" w:hAnsi="宋体" w:eastAsia="仿宋_GB2312" w:cs="仿宋_GB2312"/>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已经19届市政府第76次常务会议审议通过，</w:t>
      </w:r>
      <w:bookmarkStart w:id="0" w:name="_GoBack"/>
      <w:bookmarkEnd w:id="0"/>
      <w:r>
        <w:rPr>
          <w:rFonts w:hint="eastAsia" w:ascii="仿宋_GB2312" w:hAnsi="宋体" w:eastAsia="仿宋_GB2312" w:cs="仿宋_GB2312"/>
          <w:color w:val="000000"/>
          <w:kern w:val="0"/>
          <w:sz w:val="32"/>
          <w:szCs w:val="32"/>
          <w:lang w:val="en-US" w:eastAsia="zh-CN" w:bidi="ar"/>
        </w:rPr>
        <w:t>现印发给你们，请认真贯彻执行。</w:t>
      </w:r>
    </w:p>
    <w:p w14:paraId="3E871D6D">
      <w:pPr>
        <w:keepNext w:val="0"/>
        <w:keepLines w:val="0"/>
        <w:pageBreakBefore w:val="0"/>
        <w:widowControl w:val="0"/>
        <w:kinsoku/>
        <w:wordWrap/>
        <w:overflowPunct w:val="0"/>
        <w:topLinePunct/>
        <w:autoSpaceDE/>
        <w:autoSpaceDN/>
        <w:bidi w:val="0"/>
        <w:adjustRightInd w:val="0"/>
        <w:snapToGrid w:val="0"/>
        <w:spacing w:line="580" w:lineRule="exact"/>
        <w:ind w:left="0" w:firstLine="0" w:firstLineChars="0"/>
        <w:jc w:val="left"/>
        <w:textAlignment w:val="auto"/>
        <w:rPr>
          <w:rFonts w:hint="eastAsia" w:ascii="仿宋_GB2312" w:eastAsia="仿宋_GB2312" w:cs="仿宋_GB2312"/>
          <w:spacing w:val="0"/>
          <w:kern w:val="0"/>
          <w:sz w:val="32"/>
          <w:szCs w:val="32"/>
        </w:rPr>
      </w:pPr>
    </w:p>
    <w:p w14:paraId="6FBB793B">
      <w:pPr>
        <w:keepNext w:val="0"/>
        <w:keepLines w:val="0"/>
        <w:pageBreakBefore w:val="0"/>
        <w:widowControl w:val="0"/>
        <w:kinsoku/>
        <w:wordWrap/>
        <w:overflowPunct w:val="0"/>
        <w:topLinePunct/>
        <w:autoSpaceDE/>
        <w:autoSpaceDN/>
        <w:bidi w:val="0"/>
        <w:adjustRightInd w:val="0"/>
        <w:snapToGrid w:val="0"/>
        <w:spacing w:line="580" w:lineRule="exact"/>
        <w:ind w:left="0" w:firstLine="0" w:firstLineChars="0"/>
        <w:jc w:val="left"/>
        <w:textAlignment w:val="auto"/>
        <w:rPr>
          <w:rFonts w:hint="eastAsia" w:ascii="仿宋_GB2312" w:eastAsia="仿宋_GB2312" w:cs="仿宋_GB2312"/>
          <w:spacing w:val="0"/>
          <w:kern w:val="0"/>
          <w:sz w:val="32"/>
          <w:szCs w:val="32"/>
        </w:rPr>
      </w:pPr>
    </w:p>
    <w:p w14:paraId="67C0DE38">
      <w:pPr>
        <w:keepNext w:val="0"/>
        <w:keepLines w:val="0"/>
        <w:pageBreakBefore w:val="0"/>
        <w:widowControl/>
        <w:suppressLineNumbers w:val="0"/>
        <w:kinsoku/>
        <w:wordWrap/>
        <w:overflowPunct/>
        <w:topLinePunct w:val="0"/>
        <w:autoSpaceDE/>
        <w:autoSpaceDN/>
        <w:bidi w:val="0"/>
        <w:adjustRightInd/>
        <w:snapToGrid/>
        <w:spacing w:line="580" w:lineRule="exact"/>
        <w:ind w:firstLine="5440" w:firstLineChars="1700"/>
        <w:jc w:val="left"/>
        <w:textAlignment w:val="auto"/>
        <w:rPr>
          <w:sz w:val="32"/>
          <w:szCs w:val="32"/>
        </w:rPr>
      </w:pPr>
      <w:r>
        <w:rPr>
          <w:rFonts w:ascii="仿宋_GB2312" w:hAnsi="宋体" w:eastAsia="仿宋_GB2312" w:cs="仿宋_GB2312"/>
          <w:color w:val="000000"/>
          <w:kern w:val="0"/>
          <w:sz w:val="32"/>
          <w:szCs w:val="32"/>
          <w:lang w:val="en-US" w:eastAsia="zh-CN" w:bidi="ar"/>
        </w:rPr>
        <w:t>滕州市人民政府</w:t>
      </w:r>
    </w:p>
    <w:p w14:paraId="45F66A86">
      <w:pPr>
        <w:keepNext w:val="0"/>
        <w:keepLines w:val="0"/>
        <w:pageBreakBefore w:val="0"/>
        <w:widowControl/>
        <w:suppressLineNumbers w:val="0"/>
        <w:kinsoku/>
        <w:wordWrap/>
        <w:overflowPunct/>
        <w:topLinePunct w:val="0"/>
        <w:autoSpaceDE/>
        <w:autoSpaceDN/>
        <w:bidi w:val="0"/>
        <w:adjustRightInd/>
        <w:snapToGrid/>
        <w:spacing w:line="580" w:lineRule="exact"/>
        <w:ind w:firstLine="5440" w:firstLineChars="1700"/>
        <w:jc w:val="both"/>
        <w:textAlignment w:val="auto"/>
        <w:rPr>
          <w:sz w:val="32"/>
          <w:szCs w:val="32"/>
        </w:rPr>
      </w:pPr>
      <w:r>
        <w:rPr>
          <w:rFonts w:hint="eastAsia" w:ascii="仿宋_GB2312" w:hAnsi="宋体" w:eastAsia="仿宋_GB2312" w:cs="仿宋_GB2312"/>
          <w:color w:val="000000"/>
          <w:kern w:val="0"/>
          <w:sz w:val="32"/>
          <w:szCs w:val="32"/>
          <w:lang w:val="en-US" w:eastAsia="zh-CN" w:bidi="ar"/>
        </w:rPr>
        <w:t>2026年9月11日</w:t>
      </w:r>
    </w:p>
    <w:p w14:paraId="5B0360D7">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6DF15A0D">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0CA5DCF9">
      <w:pPr>
        <w:keepNext w:val="0"/>
        <w:keepLines w:val="0"/>
        <w:pageBreakBefore w:val="0"/>
        <w:widowControl w:val="0"/>
        <w:kinsoku/>
        <w:wordWrap/>
        <w:overflowPunct w:val="0"/>
        <w:topLinePunct/>
        <w:autoSpaceDE/>
        <w:autoSpaceDN/>
        <w:bidi w:val="0"/>
        <w:spacing w:line="600" w:lineRule="exact"/>
        <w:ind w:left="0" w:firstLine="0" w:firstLineChars="0"/>
        <w:jc w:val="center"/>
        <w:textAlignment w:val="auto"/>
        <w:rPr>
          <w:rFonts w:hint="eastAsia" w:ascii="仿宋_GB2312" w:eastAsia="仿宋_GB2312" w:cs="仿宋_GB2312"/>
          <w:spacing w:val="0"/>
          <w:kern w:val="0"/>
          <w:sz w:val="32"/>
          <w:szCs w:val="32"/>
        </w:rPr>
      </w:pPr>
      <w:r>
        <w:rPr>
          <w:rFonts w:hint="eastAsia" w:ascii="Times New Roman" w:hAnsi="Times New Roman" w:eastAsia="方正小标宋简体" w:cs="Times New Roman"/>
          <w:i w:val="0"/>
          <w:iCs w:val="0"/>
          <w:caps w:val="0"/>
          <w:color w:val="auto"/>
          <w:spacing w:val="0"/>
          <w:kern w:val="0"/>
          <w:sz w:val="44"/>
          <w:szCs w:val="44"/>
          <w:highlight w:val="none"/>
          <w:shd w:val="clear" w:color="auto" w:fill="FFFFFF"/>
          <w:lang w:val="en-US" w:eastAsia="zh-CN" w:bidi="ar"/>
        </w:rPr>
        <w:t>滕州市没收违法建筑物处置办法</w:t>
      </w:r>
    </w:p>
    <w:p w14:paraId="42021DC7">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0CFE940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第一条</w:t>
      </w:r>
      <w:r>
        <w:rPr>
          <w:rFonts w:hint="eastAsia" w:ascii="仿宋_GB2312" w:hAnsi="仿宋_GB2312" w:eastAsia="仿宋_GB2312" w:cs="仿宋_GB2312"/>
          <w:sz w:val="32"/>
          <w:szCs w:val="32"/>
        </w:rPr>
        <w:t xml:space="preserve"> 为规范处置依法没收的违法建筑物及其他设施，防止国有资产流失，根据《中华人民共和国城乡规划法》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中</w:t>
      </w:r>
      <w:r>
        <w:rPr>
          <w:rFonts w:hint="eastAsia" w:ascii="仿宋_GB2312" w:hAnsi="仿宋_GB2312" w:eastAsia="仿宋_GB2312" w:cs="仿宋_GB2312"/>
          <w:b w:val="0"/>
          <w:bCs w:val="0"/>
          <w:sz w:val="32"/>
          <w:szCs w:val="32"/>
          <w:highlight w:val="none"/>
          <w:lang w:val="en-US" w:eastAsia="zh-CN"/>
        </w:rPr>
        <w:t>华人民共和国行政处罚法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中华人民共和国行政强制法</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罚没财物管理办法</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等法律、法规</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规章</w:t>
      </w:r>
      <w:r>
        <w:rPr>
          <w:rFonts w:hint="eastAsia" w:ascii="仿宋_GB2312" w:hAnsi="仿宋_GB2312" w:eastAsia="仿宋_GB2312" w:cs="仿宋_GB2312"/>
          <w:b w:val="0"/>
          <w:bCs w:val="0"/>
          <w:sz w:val="32"/>
          <w:szCs w:val="32"/>
        </w:rPr>
        <w:t>规定，结合我</w:t>
      </w:r>
      <w:r>
        <w:rPr>
          <w:rFonts w:hint="eastAsia" w:ascii="仿宋_GB2312" w:hAnsi="仿宋_GB2312" w:eastAsia="仿宋_GB2312" w:cs="仿宋_GB2312"/>
          <w:b w:val="0"/>
          <w:bCs w:val="0"/>
          <w:sz w:val="32"/>
          <w:szCs w:val="32"/>
          <w:lang w:val="en-US" w:eastAsia="zh-CN"/>
        </w:rPr>
        <w:t>市</w:t>
      </w:r>
      <w:r>
        <w:rPr>
          <w:rFonts w:hint="eastAsia" w:ascii="仿宋_GB2312" w:hAnsi="仿宋_GB2312" w:eastAsia="仿宋_GB2312" w:cs="仿宋_GB2312"/>
          <w:sz w:val="32"/>
          <w:szCs w:val="32"/>
        </w:rPr>
        <w:t>实际，制定本办法。</w:t>
      </w:r>
    </w:p>
    <w:p w14:paraId="24B0A9C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本办法所称没收的违法建筑物，是指违反城乡规划等法律法规进行建设，由执法机关查处并作出没收行政处罚决定的建筑物、构筑物和其他设施。</w:t>
      </w:r>
    </w:p>
    <w:p w14:paraId="1DF26C6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三</w:t>
      </w:r>
      <w:r>
        <w:rPr>
          <w:rFonts w:hint="eastAsia" w:ascii="黑体" w:hAnsi="黑体" w:eastAsia="黑体" w:cs="黑体"/>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没收</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建筑物处置工作应当坚持</w:t>
      </w:r>
      <w:r>
        <w:rPr>
          <w:rFonts w:hint="eastAsia" w:ascii="仿宋_GB2312" w:hAnsi="仿宋_GB2312" w:eastAsia="仿宋_GB2312" w:cs="仿宋_GB2312"/>
          <w:sz w:val="32"/>
          <w:szCs w:val="32"/>
          <w:lang w:val="en-US" w:eastAsia="zh-CN"/>
        </w:rPr>
        <w:t>统一领导、</w:t>
      </w:r>
      <w:r>
        <w:rPr>
          <w:rFonts w:hint="eastAsia" w:ascii="仿宋_GB2312" w:hAnsi="仿宋_GB2312" w:eastAsia="仿宋_GB2312" w:cs="仿宋_GB2312"/>
          <w:sz w:val="32"/>
          <w:szCs w:val="32"/>
        </w:rPr>
        <w:t>依法依规、分类实施、合理利用的原则</w:t>
      </w:r>
      <w:r>
        <w:rPr>
          <w:rFonts w:hint="eastAsia" w:ascii="仿宋_GB2312" w:hAnsi="仿宋_GB2312" w:eastAsia="仿宋_GB2312" w:cs="仿宋_GB2312"/>
          <w:sz w:val="32"/>
          <w:szCs w:val="32"/>
          <w:lang w:eastAsia="zh-CN"/>
        </w:rPr>
        <w:t>。</w:t>
      </w:r>
    </w:p>
    <w:p w14:paraId="5B9E102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第四条</w:t>
      </w:r>
      <w:r>
        <w:rPr>
          <w:rFonts w:hint="eastAsia" w:ascii="仿宋_GB2312" w:hAnsi="仿宋_GB2312" w:eastAsia="仿宋_GB2312" w:cs="仿宋_GB2312"/>
          <w:b w:val="0"/>
          <w:bCs w:val="0"/>
          <w:color w:val="000000"/>
          <w:kern w:val="0"/>
          <w:sz w:val="32"/>
          <w:szCs w:val="32"/>
          <w:lang w:val="en-US" w:eastAsia="zh-CN" w:bidi="ar"/>
        </w:rPr>
        <w:t xml:space="preserve"> 市政府牵头组织本辖区内没收的违法建筑物处置工作，各职能部门依法履行与没收的违法建筑物处置相关的下列工作：</w:t>
      </w:r>
    </w:p>
    <w:p w14:paraId="59AC33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（一）市综合行政执法局负责作出没收行政处罚决定及将没收建筑物移交市属国企工作；</w:t>
      </w:r>
    </w:p>
    <w:p w14:paraId="045FC0E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lang w:val="en-US" w:eastAsia="zh-CN" w:bidi="ar"/>
        </w:rPr>
        <w:t>（二）</w:t>
      </w:r>
      <w:r>
        <w:rPr>
          <w:rFonts w:hint="eastAsia" w:ascii="仿宋_GB2312" w:hAnsi="仿宋_GB2312" w:eastAsia="仿宋_GB2312" w:cs="仿宋_GB2312"/>
          <w:b w:val="0"/>
          <w:bCs w:val="0"/>
          <w:sz w:val="32"/>
          <w:szCs w:val="32"/>
          <w:highlight w:val="none"/>
          <w:lang w:val="en-US" w:eastAsia="zh-CN"/>
        </w:rPr>
        <w:t>市财政局负责对市属国企移交的已完善手续的违法建筑物进行接收并登记造册、组织</w:t>
      </w:r>
      <w:r>
        <w:rPr>
          <w:rFonts w:hint="eastAsia" w:ascii="仿宋_GB2312" w:hAnsi="仿宋_GB2312" w:eastAsia="仿宋_GB2312" w:cs="仿宋_GB2312"/>
          <w:b w:val="0"/>
          <w:bCs w:val="0"/>
          <w:sz w:val="32"/>
          <w:szCs w:val="32"/>
        </w:rPr>
        <w:t>评估与</w:t>
      </w:r>
      <w:r>
        <w:rPr>
          <w:rFonts w:hint="eastAsia" w:ascii="仿宋_GB2312" w:hAnsi="仿宋_GB2312" w:eastAsia="仿宋_GB2312" w:cs="仿宋_GB2312"/>
          <w:b w:val="0"/>
          <w:bCs w:val="0"/>
          <w:sz w:val="32"/>
          <w:szCs w:val="32"/>
          <w:lang w:val="en-US" w:eastAsia="zh-CN"/>
        </w:rPr>
        <w:t>公开拍卖</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做好市政府批准的没收建筑物移交其他单位的备案工作。</w:t>
      </w:r>
      <w:r>
        <w:rPr>
          <w:rFonts w:hint="eastAsia" w:ascii="仿宋_GB2312" w:hAnsi="仿宋_GB2312" w:eastAsia="仿宋_GB2312" w:cs="仿宋_GB2312"/>
          <w:b w:val="0"/>
          <w:bCs w:val="0"/>
          <w:color w:val="000000"/>
          <w:kern w:val="0"/>
          <w:sz w:val="32"/>
          <w:szCs w:val="32"/>
          <w:lang w:val="en-US" w:eastAsia="zh-CN" w:bidi="ar"/>
        </w:rPr>
        <w:t>依法保障处置工作所需经费；</w:t>
      </w:r>
    </w:p>
    <w:p w14:paraId="5B589496">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市自然资源局负责对是否符合补办用地、补交地价款等事项提出明确意见，并联合市规划编制研究中心对规划手续提出明确意见；</w:t>
      </w:r>
    </w:p>
    <w:p w14:paraId="042E7D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 xml:space="preserve">（四）市住房和城乡建设局负责对没收的违法建筑物的质量、安全（含消防设计）等事项提出处理建议； </w:t>
      </w:r>
    </w:p>
    <w:p w14:paraId="3B1389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lang w:val="en-US" w:eastAsia="zh-CN" w:bidi="ar"/>
        </w:rPr>
      </w:pPr>
      <w:r>
        <w:rPr>
          <w:rFonts w:hint="eastAsia" w:ascii="仿宋_GB2312" w:hAnsi="仿宋_GB2312" w:eastAsia="仿宋_GB2312" w:cs="仿宋_GB2312"/>
          <w:b w:val="0"/>
          <w:bCs w:val="0"/>
          <w:color w:val="000000"/>
          <w:kern w:val="0"/>
          <w:sz w:val="32"/>
          <w:szCs w:val="32"/>
          <w:highlight w:val="none"/>
          <w:lang w:val="en-US" w:eastAsia="zh-CN" w:bidi="ar"/>
        </w:rPr>
        <w:t>（五）市属国企负责没收的违法建筑物接收、管护、处置工作。</w:t>
      </w:r>
    </w:p>
    <w:p w14:paraId="4BC4F3B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第五条</w:t>
      </w:r>
      <w:r>
        <w:rPr>
          <w:rFonts w:hint="eastAsia" w:ascii="仿宋_GB2312" w:hAnsi="仿宋_GB2312" w:eastAsia="仿宋_GB2312" w:cs="仿宋_GB2312"/>
          <w:b w:val="0"/>
          <w:bCs w:val="0"/>
          <w:color w:val="000000"/>
          <w:kern w:val="0"/>
          <w:sz w:val="32"/>
          <w:szCs w:val="32"/>
          <w:lang w:val="en-US" w:eastAsia="zh-CN" w:bidi="ar"/>
        </w:rPr>
        <w:t xml:space="preserve"> 没收的违法建筑物须符合下列条件：</w:t>
      </w:r>
    </w:p>
    <w:p w14:paraId="7C3ED6A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（一） </w:t>
      </w:r>
      <w:r>
        <w:rPr>
          <w:rFonts w:hint="eastAsia" w:ascii="仿宋_GB2312" w:hAnsi="仿宋_GB2312" w:eastAsia="仿宋_GB2312" w:cs="仿宋_GB2312"/>
          <w:sz w:val="32"/>
          <w:szCs w:val="32"/>
          <w:highlight w:val="none"/>
          <w:lang w:val="en-US" w:eastAsia="zh-CN"/>
        </w:rPr>
        <w:t>拆除</w:t>
      </w:r>
      <w:r>
        <w:rPr>
          <w:rFonts w:hint="eastAsia" w:ascii="仿宋_GB2312" w:hAnsi="仿宋_GB2312" w:eastAsia="仿宋_GB2312" w:cs="仿宋_GB2312"/>
          <w:sz w:val="32"/>
          <w:szCs w:val="32"/>
          <w:highlight w:val="none"/>
        </w:rPr>
        <w:t>可能影响相邻建筑安全</w:t>
      </w:r>
      <w:r>
        <w:rPr>
          <w:rFonts w:hint="eastAsia" w:ascii="仿宋_GB2312" w:hAnsi="仿宋_GB2312" w:eastAsia="仿宋_GB2312" w:cs="仿宋_GB2312"/>
          <w:sz w:val="32"/>
          <w:szCs w:val="32"/>
          <w:highlight w:val="none"/>
          <w:lang w:val="en-US" w:eastAsia="zh-CN"/>
        </w:rPr>
        <w:t>或对国家利益、社会</w:t>
      </w:r>
      <w:r>
        <w:rPr>
          <w:rFonts w:hint="eastAsia" w:ascii="仿宋_GB2312" w:hAnsi="仿宋_GB2312" w:eastAsia="仿宋_GB2312" w:cs="仿宋_GB2312"/>
          <w:sz w:val="32"/>
          <w:szCs w:val="32"/>
          <w:highlight w:val="none"/>
        </w:rPr>
        <w:t>公共利益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无过错利害关系人</w:t>
      </w:r>
      <w:r>
        <w:rPr>
          <w:rFonts w:hint="eastAsia" w:ascii="仿宋_GB2312" w:hAnsi="仿宋_GB2312" w:eastAsia="仿宋_GB2312" w:cs="仿宋_GB2312"/>
          <w:sz w:val="32"/>
          <w:szCs w:val="32"/>
          <w:highlight w:val="none"/>
          <w:lang w:val="en-US" w:eastAsia="zh-CN"/>
        </w:rPr>
        <w:t>合法权益</w:t>
      </w:r>
      <w:r>
        <w:rPr>
          <w:rFonts w:hint="eastAsia" w:ascii="仿宋_GB2312" w:hAnsi="仿宋_GB2312" w:eastAsia="仿宋_GB2312" w:cs="仿宋_GB2312"/>
          <w:sz w:val="32"/>
          <w:szCs w:val="32"/>
          <w:highlight w:val="none"/>
        </w:rPr>
        <w:t>造成重大</w:t>
      </w:r>
      <w:r>
        <w:rPr>
          <w:rFonts w:hint="eastAsia" w:ascii="仿宋_GB2312" w:hAnsi="仿宋_GB2312" w:eastAsia="仿宋_GB2312" w:cs="仿宋_GB2312"/>
          <w:sz w:val="32"/>
          <w:szCs w:val="32"/>
          <w:highlight w:val="none"/>
          <w:lang w:val="en-US" w:eastAsia="zh-CN"/>
        </w:rPr>
        <w:t>损害的</w:t>
      </w:r>
      <w:r>
        <w:rPr>
          <w:rFonts w:hint="eastAsia" w:ascii="仿宋_GB2312" w:hAnsi="仿宋_GB2312" w:eastAsia="仿宋_GB2312" w:cs="仿宋_GB2312"/>
          <w:sz w:val="32"/>
          <w:szCs w:val="32"/>
          <w:lang w:eastAsia="zh-CN"/>
        </w:rPr>
        <w:t>；</w:t>
      </w:r>
    </w:p>
    <w:p w14:paraId="3098EA1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不存在</w:t>
      </w:r>
      <w:r>
        <w:rPr>
          <w:rFonts w:hint="eastAsia" w:ascii="仿宋_GB2312" w:hAnsi="仿宋_GB2312" w:eastAsia="仿宋_GB2312" w:cs="仿宋_GB2312"/>
          <w:sz w:val="32"/>
          <w:szCs w:val="32"/>
        </w:rPr>
        <w:t>质量安全、消防隐患等影响建筑物正常使用的</w:t>
      </w:r>
      <w:r>
        <w:rPr>
          <w:rFonts w:hint="eastAsia" w:ascii="仿宋_GB2312" w:hAnsi="仿宋_GB2312" w:eastAsia="仿宋_GB2312" w:cs="仿宋_GB2312"/>
          <w:sz w:val="32"/>
          <w:szCs w:val="32"/>
          <w:lang w:eastAsia="zh-CN"/>
        </w:rPr>
        <w:t>。</w:t>
      </w:r>
    </w:p>
    <w:p w14:paraId="63440352">
      <w:pPr>
        <w:pStyle w:val="26"/>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黑体" w:hAnsi="黑体" w:eastAsia="黑体" w:cs="黑体"/>
          <w:sz w:val="32"/>
          <w:szCs w:val="32"/>
        </w:rPr>
        <w:t>第</w:t>
      </w:r>
      <w:r>
        <w:rPr>
          <w:rFonts w:hint="eastAsia" w:ascii="黑体" w:hAnsi="黑体" w:eastAsia="黑体" w:cs="黑体"/>
          <w:sz w:val="32"/>
          <w:szCs w:val="32"/>
          <w:lang w:val="en-US" w:eastAsia="zh-CN"/>
        </w:rPr>
        <w:t>六</w:t>
      </w:r>
      <w:r>
        <w:rPr>
          <w:rFonts w:hint="eastAsia" w:ascii="黑体" w:hAnsi="黑体" w:eastAsia="黑体" w:cs="黑体"/>
          <w:sz w:val="32"/>
          <w:szCs w:val="32"/>
        </w:rPr>
        <w:t>条</w:t>
      </w:r>
      <w:r>
        <w:rPr>
          <w:rFonts w:hint="eastAsia" w:ascii="仿宋_GB2312" w:hAnsi="仿宋_GB2312" w:eastAsia="仿宋_GB2312" w:cs="仿宋_GB2312"/>
          <w:sz w:val="32"/>
          <w:szCs w:val="32"/>
        </w:rPr>
        <w:t xml:space="preserve"> 没收的违法建筑物自行政处罚决定生效之日起归属国家所有，任何单位和个人不得侵占、损毁、擅自处置。</w:t>
      </w:r>
    </w:p>
    <w:p w14:paraId="3B3BCBC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第七条</w:t>
      </w:r>
      <w:r>
        <w:rPr>
          <w:rFonts w:hint="eastAsia" w:ascii="仿宋_GB2312" w:hAnsi="仿宋_GB2312" w:eastAsia="仿宋_GB2312" w:cs="仿宋_GB2312"/>
          <w:b w:val="0"/>
          <w:bCs w:val="0"/>
          <w:color w:val="000000"/>
          <w:kern w:val="0"/>
          <w:sz w:val="32"/>
          <w:szCs w:val="32"/>
          <w:lang w:val="en-US" w:eastAsia="zh-CN" w:bidi="ar"/>
        </w:rPr>
        <w:t xml:space="preserve"> 各部门在市政府统一领导下对没收建筑物的质量、安全、规划等出具处理建议后，符合第五条规定的由</w:t>
      </w:r>
      <w:r>
        <w:rPr>
          <w:rFonts w:hint="eastAsia" w:ascii="仿宋_GB2312" w:hAnsi="仿宋_GB2312" w:eastAsia="仿宋_GB2312" w:cs="仿宋_GB2312"/>
          <w:color w:val="000000"/>
          <w:kern w:val="0"/>
          <w:sz w:val="32"/>
          <w:szCs w:val="32"/>
          <w:lang w:val="en-US" w:eastAsia="zh-CN" w:bidi="ar"/>
        </w:rPr>
        <w:t>市综合行政执法局报市政府批准后作出行政处罚决定。需要申请法院非诉执行的依法申请。</w:t>
      </w:r>
    </w:p>
    <w:p w14:paraId="34ABCBA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没收类型为公园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停车场等其他设施或构筑物，不涉及质量安全的，可以根据实际情况简化程序。</w:t>
      </w:r>
    </w:p>
    <w:p w14:paraId="679284E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第八条</w:t>
      </w:r>
      <w:r>
        <w:rPr>
          <w:rFonts w:hint="eastAsia" w:ascii="仿宋_GB2312" w:hAnsi="仿宋_GB2312" w:eastAsia="仿宋_GB2312" w:cs="仿宋_GB2312"/>
          <w:color w:val="000000"/>
          <w:kern w:val="0"/>
          <w:sz w:val="32"/>
          <w:szCs w:val="32"/>
          <w:lang w:val="en-US" w:eastAsia="zh-CN" w:bidi="ar"/>
        </w:rPr>
        <w:t xml:space="preserve"> 行政处罚决定生效后90日内市综合行政执法局依市政</w:t>
      </w:r>
      <w:r>
        <w:rPr>
          <w:rFonts w:hint="eastAsia" w:ascii="仿宋_GB2312" w:hAnsi="仿宋_GB2312" w:eastAsia="仿宋_GB2312" w:cs="仿宋_GB2312"/>
          <w:b w:val="0"/>
          <w:bCs w:val="0"/>
          <w:color w:val="000000"/>
          <w:kern w:val="0"/>
          <w:sz w:val="32"/>
          <w:szCs w:val="32"/>
          <w:lang w:val="en-US" w:eastAsia="zh-CN" w:bidi="ar"/>
        </w:rPr>
        <w:t>府批复将</w:t>
      </w:r>
      <w:r>
        <w:rPr>
          <w:rFonts w:hint="eastAsia" w:ascii="仿宋_GB2312" w:hAnsi="仿宋_GB2312" w:eastAsia="仿宋_GB2312" w:cs="仿宋_GB2312"/>
          <w:color w:val="000000"/>
          <w:kern w:val="0"/>
          <w:sz w:val="32"/>
          <w:szCs w:val="32"/>
          <w:lang w:val="en-US" w:eastAsia="zh-CN" w:bidi="ar"/>
        </w:rPr>
        <w:t>没收的违法建筑物移交市属国企。</w:t>
      </w:r>
    </w:p>
    <w:p w14:paraId="2AA60CF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移交没收的违法建筑物，市综合行政执法局、市财政局、市属国企三方共同到现场查验，留存影像资料并填写移交书，附行政处罚决定书和没收的违法建筑物清单。移交书上应当载明移交单位和接收单位名称、没收的违法建筑物的基本情</w:t>
      </w:r>
      <w:r>
        <w:rPr>
          <w:rFonts w:hint="eastAsia" w:ascii="仿宋_GB2312" w:hAnsi="仿宋_GB2312" w:eastAsia="仿宋_GB2312" w:cs="仿宋_GB2312"/>
          <w:b w:val="0"/>
          <w:bCs w:val="0"/>
          <w:color w:val="000000"/>
          <w:kern w:val="0"/>
          <w:sz w:val="32"/>
          <w:szCs w:val="32"/>
          <w:lang w:val="en-US" w:eastAsia="zh-CN" w:bidi="ar"/>
        </w:rPr>
        <w:t>况、现状查验情况、移交的具体时间等内容。</w:t>
      </w:r>
    </w:p>
    <w:p w14:paraId="779ACA43">
      <w:pPr>
        <w:pStyle w:val="13"/>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移交书由市综合行政执法局和市属国企</w:t>
      </w:r>
      <w:r>
        <w:rPr>
          <w:rFonts w:hint="eastAsia" w:ascii="仿宋_GB2312" w:hAnsi="仿宋_GB2312" w:eastAsia="仿宋_GB2312" w:cs="仿宋_GB2312"/>
          <w:b w:val="0"/>
          <w:bCs w:val="0"/>
          <w:color w:val="000000"/>
          <w:kern w:val="0"/>
          <w:sz w:val="32"/>
          <w:szCs w:val="32"/>
          <w:highlight w:val="none"/>
          <w:lang w:val="en-US" w:eastAsia="zh-CN" w:bidi="ar"/>
        </w:rPr>
        <w:t>双方签字盖章</w:t>
      </w:r>
      <w:r>
        <w:rPr>
          <w:rFonts w:hint="eastAsia" w:ascii="仿宋_GB2312" w:hAnsi="仿宋_GB2312" w:eastAsia="仿宋_GB2312" w:cs="仿宋_GB2312"/>
          <w:b w:val="0"/>
          <w:bCs w:val="0"/>
          <w:color w:val="000000"/>
          <w:kern w:val="0"/>
          <w:sz w:val="32"/>
          <w:szCs w:val="32"/>
          <w:lang w:val="en-US" w:eastAsia="zh-CN" w:bidi="ar"/>
        </w:rPr>
        <w:t>，一式三份，市综合行政执法局和市属国企各执一份，一份报市财政局备案。没收的违法建筑物清单上应当载明行政处罚决定书编号、被处罚对象、处罚具体内容、建筑物所在位置、用地性质、占地面积和建筑面积等信息。</w:t>
      </w:r>
    </w:p>
    <w:p w14:paraId="77C75BD8">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lang w:val="en-US" w:eastAsia="zh-CN"/>
        </w:rPr>
        <w:t>第九条</w:t>
      </w:r>
      <w:r>
        <w:rPr>
          <w:rFonts w:hint="eastAsia" w:ascii="仿宋_GB2312" w:hAnsi="仿宋_GB2312" w:eastAsia="仿宋_GB2312" w:cs="仿宋_GB2312"/>
          <w:b w:val="0"/>
          <w:bCs w:val="0"/>
          <w:sz w:val="32"/>
          <w:szCs w:val="32"/>
          <w:lang w:val="en-US" w:eastAsia="zh-CN"/>
        </w:rPr>
        <w:t xml:space="preserve"> 市属国企接收没收的建筑物后，根据实际情况，</w:t>
      </w:r>
      <w:r>
        <w:rPr>
          <w:rFonts w:hint="eastAsia" w:ascii="仿宋_GB2312" w:hAnsi="仿宋_GB2312" w:eastAsia="仿宋_GB2312" w:cs="仿宋_GB2312"/>
          <w:b w:val="0"/>
          <w:bCs w:val="0"/>
          <w:sz w:val="32"/>
          <w:szCs w:val="32"/>
        </w:rPr>
        <w:t>拟定处置方案</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可以采用</w:t>
      </w:r>
      <w:r>
        <w:rPr>
          <w:rFonts w:hint="eastAsia" w:ascii="仿宋_GB2312" w:hAnsi="仿宋_GB2312" w:eastAsia="仿宋_GB2312" w:cs="仿宋_GB2312"/>
          <w:b w:val="0"/>
          <w:bCs w:val="0"/>
          <w:sz w:val="32"/>
          <w:szCs w:val="32"/>
          <w:lang w:val="en-US" w:eastAsia="zh-CN"/>
        </w:rPr>
        <w:t>公开拍卖、保留自用</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临时有偿使用</w:t>
      </w:r>
      <w:r>
        <w:rPr>
          <w:rFonts w:hint="eastAsia" w:ascii="仿宋_GB2312" w:hAnsi="仿宋_GB2312" w:eastAsia="仿宋_GB2312" w:cs="仿宋_GB2312"/>
          <w:b w:val="0"/>
          <w:bCs w:val="0"/>
          <w:sz w:val="32"/>
          <w:szCs w:val="32"/>
        </w:rPr>
        <w:t>等方式</w:t>
      </w:r>
      <w:r>
        <w:rPr>
          <w:rFonts w:hint="eastAsia" w:ascii="仿宋_GB2312" w:hAnsi="仿宋_GB2312" w:eastAsia="仿宋_GB2312" w:cs="仿宋_GB2312"/>
          <w:b w:val="0"/>
          <w:bCs w:val="0"/>
          <w:sz w:val="32"/>
          <w:szCs w:val="32"/>
          <w:lang w:val="en-US" w:eastAsia="zh-CN"/>
        </w:rPr>
        <w:t>处置</w:t>
      </w:r>
      <w:r>
        <w:rPr>
          <w:rFonts w:hint="eastAsia" w:ascii="仿宋_GB2312" w:hAnsi="仿宋_GB2312" w:eastAsia="仿宋_GB2312" w:cs="仿宋_GB2312"/>
          <w:b w:val="0"/>
          <w:bCs w:val="0"/>
          <w:sz w:val="32"/>
          <w:szCs w:val="32"/>
        </w:rPr>
        <w:t>。</w:t>
      </w:r>
    </w:p>
    <w:p w14:paraId="6FFC0C7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黑体" w:hAnsi="黑体" w:eastAsia="黑体" w:cs="黑体"/>
          <w:b w:val="0"/>
          <w:bCs w:val="0"/>
          <w:sz w:val="32"/>
          <w:szCs w:val="32"/>
          <w:lang w:val="en-US" w:eastAsia="zh-CN"/>
        </w:rPr>
        <w:t>第十条</w:t>
      </w:r>
      <w:r>
        <w:rPr>
          <w:rFonts w:hint="eastAsia" w:ascii="仿宋_GB2312" w:hAnsi="仿宋_GB2312" w:eastAsia="仿宋_GB2312" w:cs="仿宋_GB2312"/>
          <w:b w:val="0"/>
          <w:bCs w:val="0"/>
          <w:sz w:val="32"/>
          <w:szCs w:val="32"/>
          <w:lang w:val="en-US" w:eastAsia="zh-CN"/>
        </w:rPr>
        <w:t xml:space="preserve"> 在处置过程中，市属国企对具备完善不动产权属登记等手续条件的建筑物、构筑物，完善手续后</w:t>
      </w:r>
      <w:r>
        <w:rPr>
          <w:rFonts w:hint="eastAsia" w:ascii="仿宋_GB2312" w:hAnsi="仿宋_GB2312" w:eastAsia="仿宋_GB2312" w:cs="仿宋_GB2312"/>
          <w:b w:val="0"/>
          <w:bCs w:val="0"/>
          <w:sz w:val="32"/>
          <w:szCs w:val="32"/>
          <w:highlight w:val="none"/>
          <w:lang w:val="en-US" w:eastAsia="zh-CN"/>
        </w:rPr>
        <w:t>移交市财政局依法公开拍卖。</w:t>
      </w:r>
    </w:p>
    <w:p w14:paraId="53A0372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第十一条</w:t>
      </w:r>
      <w:r>
        <w:rPr>
          <w:rFonts w:hint="eastAsia" w:ascii="仿宋_GB2312" w:hAnsi="仿宋_GB2312" w:eastAsia="仿宋_GB2312" w:cs="仿宋_GB2312"/>
          <w:b w:val="0"/>
          <w:bCs w:val="0"/>
          <w:sz w:val="32"/>
          <w:szCs w:val="32"/>
          <w:lang w:val="en-US" w:eastAsia="zh-CN"/>
        </w:rPr>
        <w:t xml:space="preserve"> 依法不能补办手续的建筑物、构筑物，市属国企可保留自用并负责日常管理和维护。必要时，企业可暂时依法依规交由他人临时有偿使用</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临时使用协议应约定如遇征收等原因使用人应无条件交出建筑物。</w:t>
      </w:r>
    </w:p>
    <w:p w14:paraId="57EE6A9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highlight w:val="none"/>
          <w:lang w:val="en-US" w:eastAsia="zh-CN"/>
        </w:rPr>
        <w:t>临时使用人不得扩建、翻建、改变用途、出售和出租，临时使用人不享有征收补偿、搬迁补助等权利</w:t>
      </w:r>
      <w:r>
        <w:rPr>
          <w:rFonts w:hint="eastAsia" w:ascii="仿宋_GB2312" w:hAnsi="仿宋_GB2312" w:eastAsia="仿宋_GB2312" w:cs="仿宋_GB2312"/>
          <w:b w:val="0"/>
          <w:bCs w:val="0"/>
          <w:sz w:val="32"/>
          <w:szCs w:val="32"/>
          <w:lang w:val="en-US" w:eastAsia="zh-CN"/>
        </w:rPr>
        <w:t>。</w:t>
      </w:r>
    </w:p>
    <w:p w14:paraId="1C54DC4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第十二条</w:t>
      </w:r>
      <w:r>
        <w:rPr>
          <w:rFonts w:hint="eastAsia" w:ascii="仿宋_GB2312" w:hAnsi="仿宋_GB2312" w:eastAsia="仿宋_GB2312" w:cs="仿宋_GB2312"/>
          <w:b w:val="0"/>
          <w:bCs w:val="0"/>
          <w:sz w:val="32"/>
          <w:szCs w:val="32"/>
          <w:lang w:val="en-US" w:eastAsia="zh-CN"/>
        </w:rPr>
        <w:t xml:space="preserve"> 严禁任何单位和个人私分、侵占、挪用、损</w:t>
      </w:r>
      <w:r>
        <w:rPr>
          <w:rFonts w:hint="eastAsia" w:ascii="仿宋_GB2312" w:hAnsi="仿宋_GB2312" w:eastAsia="仿宋_GB2312" w:cs="仿宋_GB2312"/>
          <w:sz w:val="32"/>
          <w:szCs w:val="32"/>
        </w:rPr>
        <w:t>毁没收的违法建筑物，严禁违规处置、暗箱操作。</w:t>
      </w:r>
    </w:p>
    <w:p w14:paraId="051C5B4D">
      <w:pPr>
        <w:pStyle w:val="26"/>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十三</w:t>
      </w:r>
      <w:r>
        <w:rPr>
          <w:rFonts w:hint="eastAsia" w:ascii="黑体" w:hAnsi="黑体" w:eastAsia="黑体" w:cs="黑体"/>
          <w:sz w:val="32"/>
          <w:szCs w:val="32"/>
        </w:rPr>
        <w:t>条</w:t>
      </w:r>
      <w:r>
        <w:rPr>
          <w:rFonts w:hint="eastAsia" w:ascii="仿宋_GB2312" w:hAnsi="仿宋_GB2312" w:eastAsia="仿宋_GB2312" w:cs="仿宋_GB2312"/>
          <w:sz w:val="32"/>
          <w:szCs w:val="32"/>
        </w:rPr>
        <w:t xml:space="preserve"> 工作人员在处置工作中，存在滥用职权、玩忽职守、徇私舞弊、违规处置等行为的，依法依规给予处分；构成犯罪的，依法追究刑事责任。</w:t>
      </w:r>
    </w:p>
    <w:p w14:paraId="7DCA2BC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本办法自</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日起施行，有效期至</w:t>
      </w:r>
      <w:r>
        <w:rPr>
          <w:rFonts w:hint="eastAsia" w:ascii="仿宋_GB2312" w:hAnsi="仿宋_GB2312" w:eastAsia="仿宋_GB2312" w:cs="仿宋_GB2312"/>
          <w:sz w:val="32"/>
          <w:szCs w:val="32"/>
          <w:lang w:val="en-US" w:eastAsia="zh-CN"/>
        </w:rPr>
        <w:t>2031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日。</w:t>
      </w:r>
    </w:p>
    <w:p w14:paraId="13D38076">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594A69C3">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30C999ED">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7BECAAB6">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361937C8">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12F3B548">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6597E11B">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09CFEDBC">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1ADEE945">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6DA9F43B">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eastAsia" w:ascii="仿宋_GB2312" w:eastAsia="仿宋_GB2312" w:cs="仿宋_GB2312"/>
          <w:spacing w:val="0"/>
          <w:kern w:val="0"/>
          <w:sz w:val="32"/>
          <w:szCs w:val="32"/>
        </w:rPr>
      </w:pPr>
    </w:p>
    <w:p w14:paraId="1F926F1B">
      <w:pPr>
        <w:keepNext w:val="0"/>
        <w:keepLines w:val="0"/>
        <w:pageBreakBefore w:val="0"/>
        <w:widowControl w:val="0"/>
        <w:kinsoku/>
        <w:wordWrap/>
        <w:overflowPunct w:val="0"/>
        <w:topLinePunct/>
        <w:autoSpaceDE/>
        <w:autoSpaceDN/>
        <w:bidi w:val="0"/>
        <w:adjustRightInd w:val="0"/>
        <w:snapToGrid w:val="0"/>
        <w:spacing w:line="600" w:lineRule="exact"/>
        <w:ind w:left="0" w:firstLine="0" w:firstLineChars="0"/>
        <w:jc w:val="left"/>
        <w:textAlignment w:val="auto"/>
        <w:rPr>
          <w:rFonts w:hint="default" w:ascii="仿宋_GB2312" w:eastAsia="仿宋_GB2312" w:cs="仿宋_GB2312"/>
          <w:spacing w:val="0"/>
          <w:kern w:val="0"/>
          <w:sz w:val="32"/>
          <w:szCs w:val="32"/>
          <w:lang w:eastAsia="zh-CN"/>
        </w:rPr>
      </w:pPr>
    </w:p>
    <w:sectPr>
      <w:footerReference r:id="rId3" w:type="default"/>
      <w:pgSz w:w="11906" w:h="16838"/>
      <w:pgMar w:top="1701" w:right="1701" w:bottom="1701" w:left="1701" w:header="851" w:footer="1304"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5FA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28CEA3">
                          <w:pPr>
                            <w:pStyle w:val="11"/>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6M2JXt8BAADBAwAADgAAAAAA&#10;AAABACAAAAAeAQAAZHJzL2Uyb0RvYy54bWxQSwUGAAAAAAYABgBZAQAAbwUAAAAA&#10;">
              <v:fill on="f" focussize="0,0"/>
              <v:stroke on="f"/>
              <v:imagedata o:title=""/>
              <o:lock v:ext="edit" aspectratio="f"/>
              <v:textbox inset="0mm,0mm,0mm,0mm" style="mso-fit-shape-to-text:t;">
                <w:txbxContent>
                  <w:p w14:paraId="7E28CEA3">
                    <w:pPr>
                      <w:pStyle w:val="11"/>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F01975"/>
    <w:multiLevelType w:val="singleLevel"/>
    <w:tmpl w:val="70F0197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hMmE0ZjQ2MjFkODcwM2MxNmRkMzVjNWUxZjVkYjQifQ=="/>
  </w:docVars>
  <w:rsids>
    <w:rsidRoot w:val="523235C5"/>
    <w:rsid w:val="0000798B"/>
    <w:rsid w:val="00010452"/>
    <w:rsid w:val="000447A3"/>
    <w:rsid w:val="00074C28"/>
    <w:rsid w:val="00090F04"/>
    <w:rsid w:val="000A233A"/>
    <w:rsid w:val="000E0EA5"/>
    <w:rsid w:val="00104829"/>
    <w:rsid w:val="0011121F"/>
    <w:rsid w:val="00131730"/>
    <w:rsid w:val="00157BA4"/>
    <w:rsid w:val="00163CD9"/>
    <w:rsid w:val="00164BFB"/>
    <w:rsid w:val="0018633F"/>
    <w:rsid w:val="001901F6"/>
    <w:rsid w:val="001A0C5D"/>
    <w:rsid w:val="001A5F39"/>
    <w:rsid w:val="001B2641"/>
    <w:rsid w:val="001B6EBB"/>
    <w:rsid w:val="001C4C56"/>
    <w:rsid w:val="001D0B69"/>
    <w:rsid w:val="001E1966"/>
    <w:rsid w:val="001E7C94"/>
    <w:rsid w:val="002100DC"/>
    <w:rsid w:val="00243178"/>
    <w:rsid w:val="00263D06"/>
    <w:rsid w:val="0026644F"/>
    <w:rsid w:val="0027122C"/>
    <w:rsid w:val="002749D2"/>
    <w:rsid w:val="002833EE"/>
    <w:rsid w:val="00296340"/>
    <w:rsid w:val="002A57CE"/>
    <w:rsid w:val="002F3DB0"/>
    <w:rsid w:val="00301E4B"/>
    <w:rsid w:val="00315AFA"/>
    <w:rsid w:val="00343753"/>
    <w:rsid w:val="003550C5"/>
    <w:rsid w:val="00362A8E"/>
    <w:rsid w:val="00364C3A"/>
    <w:rsid w:val="00366AA2"/>
    <w:rsid w:val="00376DE4"/>
    <w:rsid w:val="00380904"/>
    <w:rsid w:val="00395E1D"/>
    <w:rsid w:val="003A2853"/>
    <w:rsid w:val="003C6991"/>
    <w:rsid w:val="004023AC"/>
    <w:rsid w:val="0042774A"/>
    <w:rsid w:val="00436AF0"/>
    <w:rsid w:val="00484019"/>
    <w:rsid w:val="00484B5A"/>
    <w:rsid w:val="00487C8F"/>
    <w:rsid w:val="00490FDA"/>
    <w:rsid w:val="004D3D63"/>
    <w:rsid w:val="004E57E5"/>
    <w:rsid w:val="004E7F06"/>
    <w:rsid w:val="004F0150"/>
    <w:rsid w:val="00514AF8"/>
    <w:rsid w:val="005253D6"/>
    <w:rsid w:val="00551D87"/>
    <w:rsid w:val="00591DD0"/>
    <w:rsid w:val="005A271F"/>
    <w:rsid w:val="005B12F0"/>
    <w:rsid w:val="005B27AB"/>
    <w:rsid w:val="005C51A7"/>
    <w:rsid w:val="005E0E80"/>
    <w:rsid w:val="005E403E"/>
    <w:rsid w:val="0061379C"/>
    <w:rsid w:val="0062570D"/>
    <w:rsid w:val="00675627"/>
    <w:rsid w:val="00684891"/>
    <w:rsid w:val="00696907"/>
    <w:rsid w:val="006A064C"/>
    <w:rsid w:val="006A11C6"/>
    <w:rsid w:val="006A35CF"/>
    <w:rsid w:val="006C783D"/>
    <w:rsid w:val="006E6F71"/>
    <w:rsid w:val="007060ED"/>
    <w:rsid w:val="007071AF"/>
    <w:rsid w:val="00723485"/>
    <w:rsid w:val="00746D62"/>
    <w:rsid w:val="00747F3C"/>
    <w:rsid w:val="00750D4D"/>
    <w:rsid w:val="00757FBD"/>
    <w:rsid w:val="007B4940"/>
    <w:rsid w:val="007E011C"/>
    <w:rsid w:val="007E2840"/>
    <w:rsid w:val="007F2223"/>
    <w:rsid w:val="008164BA"/>
    <w:rsid w:val="00820B2D"/>
    <w:rsid w:val="0086428A"/>
    <w:rsid w:val="008713F0"/>
    <w:rsid w:val="008938C7"/>
    <w:rsid w:val="008E6B5E"/>
    <w:rsid w:val="008F0659"/>
    <w:rsid w:val="0090112D"/>
    <w:rsid w:val="0094264C"/>
    <w:rsid w:val="0094647B"/>
    <w:rsid w:val="00964070"/>
    <w:rsid w:val="009935AC"/>
    <w:rsid w:val="009A0FDA"/>
    <w:rsid w:val="009A5988"/>
    <w:rsid w:val="009B3886"/>
    <w:rsid w:val="009C231B"/>
    <w:rsid w:val="009D5FD7"/>
    <w:rsid w:val="009F4823"/>
    <w:rsid w:val="00A22D05"/>
    <w:rsid w:val="00A40FF7"/>
    <w:rsid w:val="00A42CD6"/>
    <w:rsid w:val="00A50C7F"/>
    <w:rsid w:val="00A61970"/>
    <w:rsid w:val="00AB0706"/>
    <w:rsid w:val="00AC3640"/>
    <w:rsid w:val="00AD1938"/>
    <w:rsid w:val="00AD7FFD"/>
    <w:rsid w:val="00AE5ED3"/>
    <w:rsid w:val="00B056C6"/>
    <w:rsid w:val="00B2142A"/>
    <w:rsid w:val="00B21F4F"/>
    <w:rsid w:val="00B25E74"/>
    <w:rsid w:val="00B26DA0"/>
    <w:rsid w:val="00B61DF4"/>
    <w:rsid w:val="00B67063"/>
    <w:rsid w:val="00B832A1"/>
    <w:rsid w:val="00BC6BF8"/>
    <w:rsid w:val="00BD7498"/>
    <w:rsid w:val="00C0023B"/>
    <w:rsid w:val="00C076FD"/>
    <w:rsid w:val="00C26968"/>
    <w:rsid w:val="00C315B3"/>
    <w:rsid w:val="00C32FB6"/>
    <w:rsid w:val="00C42623"/>
    <w:rsid w:val="00C5278B"/>
    <w:rsid w:val="00C53A87"/>
    <w:rsid w:val="00C637D1"/>
    <w:rsid w:val="00C826A3"/>
    <w:rsid w:val="00CA0149"/>
    <w:rsid w:val="00CA6EBD"/>
    <w:rsid w:val="00CE6573"/>
    <w:rsid w:val="00D101D6"/>
    <w:rsid w:val="00D35FD0"/>
    <w:rsid w:val="00D36A33"/>
    <w:rsid w:val="00D37FB1"/>
    <w:rsid w:val="00D51194"/>
    <w:rsid w:val="00D56169"/>
    <w:rsid w:val="00D5631D"/>
    <w:rsid w:val="00D70776"/>
    <w:rsid w:val="00DC33F0"/>
    <w:rsid w:val="00DD76A3"/>
    <w:rsid w:val="00DF42D1"/>
    <w:rsid w:val="00E06B40"/>
    <w:rsid w:val="00E13549"/>
    <w:rsid w:val="00E603E9"/>
    <w:rsid w:val="00E61799"/>
    <w:rsid w:val="00E84045"/>
    <w:rsid w:val="00E933FC"/>
    <w:rsid w:val="00EB6A61"/>
    <w:rsid w:val="00EC490C"/>
    <w:rsid w:val="00EE401A"/>
    <w:rsid w:val="00EE6282"/>
    <w:rsid w:val="00EF041F"/>
    <w:rsid w:val="00F007DB"/>
    <w:rsid w:val="00F1074F"/>
    <w:rsid w:val="00F22C85"/>
    <w:rsid w:val="00F2570C"/>
    <w:rsid w:val="00F25E47"/>
    <w:rsid w:val="00F45DAA"/>
    <w:rsid w:val="00F53CCE"/>
    <w:rsid w:val="00FA7006"/>
    <w:rsid w:val="00FB3D39"/>
    <w:rsid w:val="00FC7548"/>
    <w:rsid w:val="00FE12AD"/>
    <w:rsid w:val="00FE1BD6"/>
    <w:rsid w:val="01146DAF"/>
    <w:rsid w:val="01602FA2"/>
    <w:rsid w:val="01DD20DB"/>
    <w:rsid w:val="048D2785"/>
    <w:rsid w:val="04B0318A"/>
    <w:rsid w:val="064674D8"/>
    <w:rsid w:val="07F775C8"/>
    <w:rsid w:val="0A702FD9"/>
    <w:rsid w:val="0AC43BFC"/>
    <w:rsid w:val="0AD94762"/>
    <w:rsid w:val="0AF31AAB"/>
    <w:rsid w:val="0B8B4FAB"/>
    <w:rsid w:val="0BED0F30"/>
    <w:rsid w:val="0CA15543"/>
    <w:rsid w:val="0DCA7917"/>
    <w:rsid w:val="0E303B97"/>
    <w:rsid w:val="0EC10BC1"/>
    <w:rsid w:val="0F711E78"/>
    <w:rsid w:val="10606175"/>
    <w:rsid w:val="10DA2500"/>
    <w:rsid w:val="115A0D82"/>
    <w:rsid w:val="11CA7787"/>
    <w:rsid w:val="12CE752E"/>
    <w:rsid w:val="131E0888"/>
    <w:rsid w:val="132B7780"/>
    <w:rsid w:val="13386C06"/>
    <w:rsid w:val="15DA0EFB"/>
    <w:rsid w:val="16C44F84"/>
    <w:rsid w:val="186B0533"/>
    <w:rsid w:val="19570524"/>
    <w:rsid w:val="1A042784"/>
    <w:rsid w:val="1B93214E"/>
    <w:rsid w:val="1E3638C9"/>
    <w:rsid w:val="1E3F148A"/>
    <w:rsid w:val="24D93103"/>
    <w:rsid w:val="287D1FB6"/>
    <w:rsid w:val="291853E7"/>
    <w:rsid w:val="29261867"/>
    <w:rsid w:val="2C931AF9"/>
    <w:rsid w:val="2D925419"/>
    <w:rsid w:val="2DD97271"/>
    <w:rsid w:val="2F0C2308"/>
    <w:rsid w:val="31185952"/>
    <w:rsid w:val="31271F73"/>
    <w:rsid w:val="34E458F0"/>
    <w:rsid w:val="35523775"/>
    <w:rsid w:val="357C5A13"/>
    <w:rsid w:val="35F41FCB"/>
    <w:rsid w:val="3680744D"/>
    <w:rsid w:val="38312178"/>
    <w:rsid w:val="39CD5D7A"/>
    <w:rsid w:val="3A494C37"/>
    <w:rsid w:val="3C242698"/>
    <w:rsid w:val="3DC7594D"/>
    <w:rsid w:val="3F983484"/>
    <w:rsid w:val="41B73A7C"/>
    <w:rsid w:val="42AC7809"/>
    <w:rsid w:val="42CE38FA"/>
    <w:rsid w:val="465D1FFE"/>
    <w:rsid w:val="46E42A06"/>
    <w:rsid w:val="47D44214"/>
    <w:rsid w:val="489D1F09"/>
    <w:rsid w:val="497534E5"/>
    <w:rsid w:val="4AD255E8"/>
    <w:rsid w:val="4CF63393"/>
    <w:rsid w:val="4D8A1181"/>
    <w:rsid w:val="4DFF071E"/>
    <w:rsid w:val="4F052464"/>
    <w:rsid w:val="523235C5"/>
    <w:rsid w:val="524609C5"/>
    <w:rsid w:val="52AC1066"/>
    <w:rsid w:val="53230437"/>
    <w:rsid w:val="54C87272"/>
    <w:rsid w:val="558F7B32"/>
    <w:rsid w:val="5BD01DED"/>
    <w:rsid w:val="5BE23023"/>
    <w:rsid w:val="5C25339C"/>
    <w:rsid w:val="5D1E0E81"/>
    <w:rsid w:val="62005487"/>
    <w:rsid w:val="63323C95"/>
    <w:rsid w:val="65836D94"/>
    <w:rsid w:val="65D8147F"/>
    <w:rsid w:val="66161DAD"/>
    <w:rsid w:val="664B112F"/>
    <w:rsid w:val="695452C0"/>
    <w:rsid w:val="6BCF4B20"/>
    <w:rsid w:val="6C2E3281"/>
    <w:rsid w:val="6C386EEC"/>
    <w:rsid w:val="6CA51B0F"/>
    <w:rsid w:val="6CE04A81"/>
    <w:rsid w:val="6E394BBC"/>
    <w:rsid w:val="6E7837FF"/>
    <w:rsid w:val="6EFC61DE"/>
    <w:rsid w:val="6EFF5CCE"/>
    <w:rsid w:val="70996976"/>
    <w:rsid w:val="70CF5F7B"/>
    <w:rsid w:val="71C63023"/>
    <w:rsid w:val="724C122A"/>
    <w:rsid w:val="7503177B"/>
    <w:rsid w:val="753A567D"/>
    <w:rsid w:val="75B53A32"/>
    <w:rsid w:val="77EB5C71"/>
    <w:rsid w:val="784E04B2"/>
    <w:rsid w:val="79096494"/>
    <w:rsid w:val="792E58C8"/>
    <w:rsid w:val="7A6671C6"/>
    <w:rsid w:val="7AD54076"/>
    <w:rsid w:val="7BEA87B6"/>
    <w:rsid w:val="7D254214"/>
    <w:rsid w:val="7E732FA2"/>
    <w:rsid w:val="7EFEC6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paragraph" w:styleId="5">
    <w:name w:val="heading 3"/>
    <w:basedOn w:val="1"/>
    <w:next w:val="1"/>
    <w:link w:val="20"/>
    <w:qFormat/>
    <w:uiPriority w:val="0"/>
    <w:pPr>
      <w:keepNext/>
      <w:keepLines/>
      <w:spacing w:before="260" w:after="260" w:line="416" w:lineRule="auto"/>
      <w:outlineLvl w:val="2"/>
    </w:pPr>
    <w:rPr>
      <w:b/>
      <w:bCs/>
      <w:sz w:val="32"/>
      <w:szCs w:val="32"/>
    </w:rPr>
  </w:style>
  <w:style w:type="paragraph" w:styleId="6">
    <w:name w:val="heading 5"/>
    <w:basedOn w:val="1"/>
    <w:next w:val="1"/>
    <w:qFormat/>
    <w:uiPriority w:val="9"/>
    <w:pPr>
      <w:keepNext/>
      <w:keepLines/>
      <w:spacing w:before="280" w:after="290" w:line="376" w:lineRule="auto"/>
      <w:outlineLvl w:val="4"/>
    </w:pPr>
    <w:rPr>
      <w:b/>
      <w:bCs/>
      <w:sz w:val="28"/>
      <w:szCs w:val="28"/>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pPr>
      <w:snapToGrid w:val="0"/>
      <w:spacing w:line="640" w:lineRule="exact"/>
      <w:ind w:firstLine="705"/>
    </w:pPr>
    <w:rPr>
      <w:rFonts w:ascii="仿宋_GB2312"/>
      <w:color w:val="000000"/>
      <w:sz w:val="36"/>
      <w:szCs w:val="36"/>
    </w:rPr>
  </w:style>
  <w:style w:type="paragraph" w:styleId="7">
    <w:name w:val="Body Text"/>
    <w:basedOn w:val="1"/>
    <w:next w:val="8"/>
    <w:qFormat/>
    <w:uiPriority w:val="0"/>
    <w:pPr>
      <w:spacing w:before="117"/>
      <w:ind w:left="120"/>
    </w:pPr>
    <w:rPr>
      <w:szCs w:val="32"/>
    </w:rPr>
  </w:style>
  <w:style w:type="paragraph" w:customStyle="1" w:styleId="8">
    <w:name w:val="引用1"/>
    <w:basedOn w:val="1"/>
    <w:next w:val="1"/>
    <w:qFormat/>
    <w:uiPriority w:val="0"/>
    <w:rPr>
      <w:i/>
      <w:iCs/>
      <w:color w:val="000000"/>
    </w:rPr>
  </w:style>
  <w:style w:type="paragraph" w:styleId="9">
    <w:name w:val="Body Text Indent 2"/>
    <w:basedOn w:val="1"/>
    <w:qFormat/>
    <w:uiPriority w:val="99"/>
    <w:pPr>
      <w:spacing w:line="480" w:lineRule="auto"/>
      <w:ind w:left="420" w:leftChars="200"/>
    </w:pPr>
  </w:style>
  <w:style w:type="paragraph" w:styleId="10">
    <w:name w:val="Balloon Text"/>
    <w:basedOn w:val="1"/>
    <w:link w:val="21"/>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3">
    <w:name w:val="footnote text"/>
    <w:basedOn w:val="1"/>
    <w:qFormat/>
    <w:uiPriority w:val="0"/>
    <w:pPr>
      <w:snapToGrid w:val="0"/>
      <w:jc w:val="left"/>
    </w:pPr>
    <w:rPr>
      <w:sz w:val="18"/>
      <w:szCs w:val="18"/>
    </w:rPr>
  </w:style>
  <w:style w:type="paragraph" w:styleId="14">
    <w:name w:val="Normal (Web)"/>
    <w:basedOn w:val="1"/>
    <w:qFormat/>
    <w:uiPriority w:val="0"/>
    <w:pPr>
      <w:spacing w:beforeAutospacing="1" w:afterAutospacing="1"/>
      <w:jc w:val="left"/>
    </w:pPr>
    <w:rPr>
      <w:kern w:val="0"/>
      <w:sz w:val="24"/>
    </w:rPr>
  </w:style>
  <w:style w:type="character" w:styleId="17">
    <w:name w:val="Strong"/>
    <w:qFormat/>
    <w:uiPriority w:val="0"/>
    <w:rPr>
      <w:b/>
    </w:rPr>
  </w:style>
  <w:style w:type="character" w:styleId="18">
    <w:name w:val="Emphasis"/>
    <w:qFormat/>
    <w:uiPriority w:val="20"/>
    <w:rPr>
      <w:i/>
      <w:iCs/>
    </w:rPr>
  </w:style>
  <w:style w:type="character" w:styleId="19">
    <w:name w:val="Hyperlink"/>
    <w:unhideWhenUsed/>
    <w:qFormat/>
    <w:uiPriority w:val="99"/>
    <w:rPr>
      <w:color w:val="0000FF"/>
      <w:u w:val="single"/>
    </w:rPr>
  </w:style>
  <w:style w:type="character" w:customStyle="1" w:styleId="20">
    <w:name w:val="标题 3 Char"/>
    <w:link w:val="5"/>
    <w:semiHidden/>
    <w:qFormat/>
    <w:uiPriority w:val="0"/>
    <w:rPr>
      <w:rFonts w:ascii="Calibri" w:hAnsi="Calibri"/>
      <w:b/>
      <w:bCs/>
      <w:kern w:val="2"/>
      <w:sz w:val="32"/>
      <w:szCs w:val="32"/>
    </w:rPr>
  </w:style>
  <w:style w:type="character" w:customStyle="1" w:styleId="21">
    <w:name w:val="批注框文本 Char"/>
    <w:link w:val="10"/>
    <w:qFormat/>
    <w:uiPriority w:val="0"/>
    <w:rPr>
      <w:rFonts w:ascii="Calibri" w:hAnsi="Calibri" w:eastAsia="宋体" w:cs="Times New Roman"/>
      <w:kern w:val="2"/>
      <w:sz w:val="18"/>
      <w:szCs w:val="18"/>
    </w:rPr>
  </w:style>
  <w:style w:type="character" w:customStyle="1" w:styleId="22">
    <w:name w:val="页脚 Char"/>
    <w:link w:val="11"/>
    <w:qFormat/>
    <w:uiPriority w:val="99"/>
    <w:rPr>
      <w:rFonts w:ascii="Calibri" w:hAnsi="Calibri" w:eastAsia="宋体" w:cs="Times New Roman"/>
      <w:kern w:val="2"/>
      <w:sz w:val="18"/>
      <w:szCs w:val="18"/>
    </w:rPr>
  </w:style>
  <w:style w:type="character" w:customStyle="1" w:styleId="23">
    <w:name w:val="页眉 Char"/>
    <w:link w:val="12"/>
    <w:qFormat/>
    <w:uiPriority w:val="0"/>
    <w:rPr>
      <w:rFonts w:ascii="Calibri" w:hAnsi="Calibri" w:eastAsia="宋体" w:cs="Times New Roman"/>
      <w:kern w:val="2"/>
      <w:sz w:val="18"/>
      <w:szCs w:val="18"/>
    </w:rPr>
  </w:style>
  <w:style w:type="paragraph" w:customStyle="1" w:styleId="24">
    <w:name w:val="Body text|1"/>
    <w:basedOn w:val="1"/>
    <w:qFormat/>
    <w:uiPriority w:val="0"/>
    <w:pPr>
      <w:spacing w:line="446" w:lineRule="auto"/>
      <w:ind w:firstLine="400"/>
    </w:pPr>
    <w:rPr>
      <w:rFonts w:ascii="宋体" w:hAnsi="宋体" w:cs="宋体"/>
      <w:sz w:val="28"/>
      <w:szCs w:val="28"/>
      <w:lang w:val="zh-TW" w:eastAsia="zh-TW" w:bidi="zh-TW"/>
    </w:rPr>
  </w:style>
  <w:style w:type="character" w:customStyle="1" w:styleId="25">
    <w:name w:val="NormalCharacter"/>
    <w:qFormat/>
    <w:uiPriority w:val="0"/>
  </w:style>
  <w:style w:type="paragraph" w:customStyle="1" w:styleId="26">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1638</Words>
  <Characters>1648</Characters>
  <Lines>617</Lines>
  <Paragraphs>145</Paragraphs>
  <TotalTime>62</TotalTime>
  <ScaleCrop>false</ScaleCrop>
  <LinksUpToDate>false</LinksUpToDate>
  <CharactersWithSpaces>1678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2026-06-08T10:11:00Z</dcterms:created>
  <dc:creator>HP</dc:creator>
  <cp:lastModifiedBy>长颈鹿的短脖子</cp:lastModifiedBy>
  <cp:lastPrinted>2026-09-08T02:35:00Z</cp:lastPrinted>
  <dcterms:modified xsi:type="dcterms:W3CDTF">2026-09-11T02:20:31Z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AB1E73C8153D4762A9303FC514DDEE39_13</vt:lpwstr>
  </property>
  <property fmtid="{D5CDD505-2E9C-101B-9397-08002B2CF9AE}" pid="4" name="KSOTemplateDocerSaveRecord">
    <vt:lpwstr>eyJoZGlkIjoiNTNjMDIxNWY1NjEzNWRjMDE5MjkzNzdlYWRjZmNlNjYiLCJ1c2VySWQiOiI3MjU3NTk1MzQifQ==</vt:lpwstr>
  </property>
</Properties>
</file>